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DEA6A" w14:textId="77777777" w:rsidR="00566BE7" w:rsidRDefault="002D598C" w:rsidP="00FD25A4">
      <w:pPr>
        <w:widowControl/>
        <w:spacing w:beforeLines="50" w:before="156" w:line="520" w:lineRule="exact"/>
        <w:jc w:val="left"/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  <w:shd w:val="clear" w:color="auto" w:fill="FFC000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  <w:shd w:val="clear" w:color="auto" w:fill="FFC000"/>
        </w:rPr>
        <w:t>【</w:t>
      </w:r>
      <w:r>
        <w:rPr>
          <w:rFonts w:ascii="仿宋" w:eastAsia="仿宋" w:hAnsi="仿宋" w:cs="宋体"/>
          <w:b/>
          <w:spacing w:val="15"/>
          <w:kern w:val="0"/>
          <w:sz w:val="28"/>
          <w:szCs w:val="28"/>
          <w:shd w:val="clear" w:color="auto" w:fill="FFC000"/>
        </w:rPr>
        <w:t>3·15投资者保护教育宣传</w:t>
      </w:r>
      <w:r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  <w:shd w:val="clear" w:color="auto" w:fill="FFC000"/>
        </w:rPr>
        <w:t>】</w:t>
      </w:r>
    </w:p>
    <w:p w14:paraId="0E9FEC0F" w14:textId="77777777" w:rsidR="00566BE7" w:rsidRDefault="002D598C" w:rsidP="00FD25A4">
      <w:pPr>
        <w:widowControl/>
        <w:spacing w:beforeLines="50" w:before="156" w:line="520" w:lineRule="exact"/>
        <w:jc w:val="center"/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</w:rPr>
        <w:t>保障金融权益 助力美好生活</w:t>
      </w:r>
    </w:p>
    <w:p w14:paraId="4890D05E" w14:textId="3AC799EB" w:rsidR="00566BE7" w:rsidRDefault="002D598C" w:rsidP="00F12835">
      <w:pPr>
        <w:widowControl/>
        <w:spacing w:beforeLines="50" w:before="156"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为全面贯彻落实党的二十大和二十届二中、三中全会精神以及中央金融工作会议要求，践行以投资者为本的理念，扎实做好投资者保护工作，根据广西证监会工作部署，</w:t>
      </w:r>
      <w:r w:rsidR="006C05A9">
        <w:rPr>
          <w:rFonts w:ascii="仿宋" w:eastAsia="仿宋" w:hAnsi="仿宋" w:cs="宋体"/>
          <w:kern w:val="0"/>
          <w:sz w:val="28"/>
          <w:szCs w:val="28"/>
        </w:rPr>
        <w:t>皇氏集团股份有限公司（以下简称“公司”）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bookmarkStart w:id="0" w:name="_GoBack"/>
      <w:bookmarkEnd w:id="0"/>
      <w:r>
        <w:rPr>
          <w:rFonts w:ascii="仿宋" w:eastAsia="仿宋" w:hAnsi="仿宋" w:cs="宋体"/>
          <w:kern w:val="0"/>
          <w:sz w:val="28"/>
          <w:szCs w:val="28"/>
        </w:rPr>
        <w:t>25年"3·15"投资者保护教育宣传专项活动正式启动，本次活动以</w:t>
      </w:r>
      <w:r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  <w:t>“聚焦‘维护权益’”</w:t>
      </w:r>
      <w:r>
        <w:rPr>
          <w:rFonts w:ascii="仿宋" w:eastAsia="仿宋" w:hAnsi="仿宋" w:cs="宋体"/>
          <w:kern w:val="0"/>
          <w:sz w:val="28"/>
          <w:szCs w:val="28"/>
        </w:rPr>
        <w:t>为主题，以</w:t>
      </w:r>
      <w:r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  <w:t>“保障金融权益</w:t>
      </w:r>
      <w:r w:rsidR="006C05A9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 xml:space="preserve">  </w:t>
      </w:r>
      <w:r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  <w:t>助力美好生活”</w:t>
      </w:r>
      <w:r>
        <w:rPr>
          <w:rFonts w:ascii="仿宋" w:eastAsia="仿宋" w:hAnsi="仿宋" w:cs="宋体"/>
          <w:kern w:val="0"/>
          <w:sz w:val="28"/>
          <w:szCs w:val="28"/>
        </w:rPr>
        <w:t>为口号。</w:t>
      </w:r>
      <w:r w:rsidR="00C821C7" w:rsidRPr="00C821C7">
        <w:rPr>
          <w:rFonts w:ascii="仿宋" w:eastAsia="仿宋" w:hAnsi="仿宋" w:cs="宋体" w:hint="eastAsia"/>
          <w:kern w:val="0"/>
          <w:sz w:val="28"/>
          <w:szCs w:val="28"/>
        </w:rPr>
        <w:t>助力公司</w:t>
      </w:r>
      <w:r w:rsidR="00C821C7">
        <w:rPr>
          <w:rFonts w:ascii="仿宋" w:eastAsia="仿宋" w:hAnsi="仿宋" w:cs="宋体" w:hint="eastAsia"/>
          <w:kern w:val="0"/>
          <w:sz w:val="28"/>
          <w:szCs w:val="28"/>
        </w:rPr>
        <w:t>员</w:t>
      </w:r>
      <w:r w:rsidR="00C821C7" w:rsidRPr="00C821C7">
        <w:rPr>
          <w:rFonts w:ascii="仿宋" w:eastAsia="仿宋" w:hAnsi="仿宋" w:cs="宋体" w:hint="eastAsia"/>
          <w:kern w:val="0"/>
          <w:sz w:val="28"/>
          <w:szCs w:val="28"/>
        </w:rPr>
        <w:t>工洞悉金融市场本质，筑牢理性投资根基，远离非法理财陷阱。</w:t>
      </w:r>
    </w:p>
    <w:p w14:paraId="0BC2EE1D" w14:textId="77777777" w:rsidR="00752588" w:rsidRDefault="00752588" w:rsidP="00FD25A4">
      <w:pPr>
        <w:widowControl/>
        <w:spacing w:beforeLines="50" w:before="156" w:line="520" w:lineRule="exact"/>
        <w:ind w:firstLineChars="200" w:firstLine="622"/>
        <w:jc w:val="left"/>
        <w:rPr>
          <w:rFonts w:ascii="仿宋" w:eastAsia="仿宋" w:hAnsi="仿宋" w:cs="宋体"/>
          <w:b/>
          <w:spacing w:val="15"/>
          <w:kern w:val="0"/>
          <w:sz w:val="28"/>
          <w:szCs w:val="28"/>
          <w:shd w:val="clear" w:color="auto" w:fill="FF0000"/>
        </w:rPr>
      </w:pPr>
    </w:p>
    <w:p w14:paraId="268C6DD2" w14:textId="77777777" w:rsidR="00566BE7" w:rsidRPr="0033622A" w:rsidRDefault="002D598C" w:rsidP="00FD25A4">
      <w:pPr>
        <w:widowControl/>
        <w:spacing w:beforeLines="50" w:before="156" w:line="520" w:lineRule="exact"/>
        <w:jc w:val="left"/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3622A">
        <w:rPr>
          <w:rFonts w:ascii="仿宋" w:eastAsia="仿宋" w:hAnsi="仿宋" w:cs="宋体"/>
          <w:b/>
          <w:kern w:val="0"/>
          <w:sz w:val="28"/>
          <w:szCs w:val="28"/>
          <w:shd w:val="clear" w:color="auto" w:fil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一</w:t>
      </w: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Pr="0033622A"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警惕非法荐股、场外配资风险</w:t>
      </w:r>
    </w:p>
    <w:p w14:paraId="0207540D" w14:textId="489A8D55" w:rsidR="00566BE7" w:rsidRDefault="002D598C" w:rsidP="00FD25A4">
      <w:pPr>
        <w:widowControl/>
        <w:spacing w:beforeLines="50" w:before="156" w:line="520" w:lineRule="exact"/>
        <w:ind w:firstLine="48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spacing w:val="15"/>
          <w:kern w:val="0"/>
          <w:sz w:val="28"/>
          <w:szCs w:val="28"/>
        </w:rPr>
        <w:t>“非法荐股”是指无资格机构和个人向投资者或客户提供证券投资分析、预测或建议等直接或间接有偿咨询服务的活动。行为模式主要包括网络直播荐股、微博微信荐股、软件荐股</w:t>
      </w:r>
      <w:r w:rsidR="00C821C7">
        <w:rPr>
          <w:rFonts w:ascii="仿宋" w:eastAsia="仿宋" w:hAnsi="仿宋" w:cs="宋体"/>
          <w:spacing w:val="15"/>
          <w:kern w:val="0"/>
          <w:sz w:val="28"/>
          <w:szCs w:val="28"/>
        </w:rPr>
        <w:t>、</w:t>
      </w:r>
      <w:r>
        <w:rPr>
          <w:rFonts w:ascii="仿宋" w:eastAsia="仿宋" w:hAnsi="仿宋" w:cs="宋体"/>
          <w:spacing w:val="15"/>
          <w:kern w:val="0"/>
          <w:sz w:val="28"/>
          <w:szCs w:val="28"/>
        </w:rPr>
        <w:t>培训荐股等。根据《证券法》规定，上述行为涉嫌非法经营证券业务。</w:t>
      </w:r>
    </w:p>
    <w:p w14:paraId="4B722A9C" w14:textId="76C48245" w:rsidR="00566BE7" w:rsidRDefault="002D598C" w:rsidP="00FD25A4">
      <w:pPr>
        <w:widowControl/>
        <w:spacing w:beforeLines="50" w:before="156" w:line="520" w:lineRule="exact"/>
        <w:ind w:firstLine="48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spacing w:val="15"/>
          <w:kern w:val="0"/>
          <w:sz w:val="28"/>
          <w:szCs w:val="28"/>
        </w:rPr>
        <w:t>“场外配资”是指除证券公司以外不具备证券融资业务资质的机构或个人，以高于投资者支付的保证金数倍的比例向其出借资金，组织投资者在特定证券、期货账户上使用借用资金及保证金进行股票、期货交易，并收取利息、费用或收益分成的活动。根据《刑法》《证券法》等法律法规有关规定，场外配资经营活动属于非法证券期货活动，构成犯罪的，将以非法经营罪、诈骗罪等追究刑事责任。</w:t>
      </w:r>
    </w:p>
    <w:p w14:paraId="6CCEEAD6" w14:textId="77777777" w:rsidR="00566BE7" w:rsidRDefault="00566BE7" w:rsidP="00FD25A4">
      <w:pPr>
        <w:widowControl/>
        <w:spacing w:beforeLines="50" w:before="156" w:line="520" w:lineRule="exact"/>
        <w:ind w:firstLine="480"/>
        <w:rPr>
          <w:rFonts w:ascii="仿宋" w:eastAsia="仿宋" w:hAnsi="仿宋" w:cs="宋体" w:hint="eastAsia"/>
          <w:spacing w:val="15"/>
          <w:kern w:val="0"/>
          <w:sz w:val="28"/>
          <w:szCs w:val="28"/>
        </w:rPr>
      </w:pPr>
    </w:p>
    <w:p w14:paraId="4609A211" w14:textId="1A82EB87" w:rsidR="00DD53F8" w:rsidRPr="0033622A" w:rsidRDefault="00DD53F8" w:rsidP="00FD25A4">
      <w:pPr>
        <w:widowControl/>
        <w:spacing w:beforeLines="50" w:before="156" w:line="520" w:lineRule="exact"/>
        <w:jc w:val="left"/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lastRenderedPageBreak/>
        <w:t>二</w:t>
      </w: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防范</w:t>
      </w:r>
      <w:r w:rsidRPr="0033622A"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非法集资策略</w:t>
      </w:r>
    </w:p>
    <w:p w14:paraId="7A9B4E19" w14:textId="77777777" w:rsidR="00DD53F8" w:rsidRPr="006C05A9" w:rsidRDefault="00DD53F8" w:rsidP="00FD25A4">
      <w:pPr>
        <w:widowControl/>
        <w:spacing w:beforeLines="50" w:before="156"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C05A9">
        <w:rPr>
          <w:rFonts w:ascii="仿宋" w:eastAsia="仿宋" w:hAnsi="仿宋" w:cs="宋体" w:hint="eastAsia"/>
          <w:kern w:val="0"/>
          <w:sz w:val="28"/>
          <w:szCs w:val="28"/>
        </w:rPr>
        <w:t>1、强化法律认知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6C05A9">
        <w:rPr>
          <w:rFonts w:ascii="仿宋" w:eastAsia="仿宋" w:hAnsi="仿宋" w:cs="宋体" w:hint="eastAsia"/>
          <w:kern w:val="0"/>
          <w:sz w:val="28"/>
          <w:szCs w:val="28"/>
        </w:rPr>
        <w:t>熟悉国家针对非法集资的相关法规，要清楚参与非法集资不受法律保护，所有损失需自行承担。</w:t>
      </w:r>
    </w:p>
    <w:p w14:paraId="331012D0" w14:textId="77777777" w:rsidR="00DD53F8" w:rsidRPr="006C05A9" w:rsidRDefault="00DD53F8" w:rsidP="00FD25A4">
      <w:pPr>
        <w:widowControl/>
        <w:spacing w:beforeLines="50" w:before="156"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C05A9">
        <w:rPr>
          <w:rFonts w:ascii="仿宋" w:eastAsia="仿宋" w:hAnsi="仿宋" w:cs="宋体" w:hint="eastAsia"/>
          <w:kern w:val="0"/>
          <w:sz w:val="28"/>
          <w:szCs w:val="28"/>
        </w:rPr>
        <w:t>2、提高辨别能力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6C05A9">
        <w:rPr>
          <w:rFonts w:ascii="仿宋" w:eastAsia="仿宋" w:hAnsi="仿宋" w:cs="宋体" w:hint="eastAsia"/>
          <w:kern w:val="0"/>
          <w:sz w:val="28"/>
          <w:szCs w:val="28"/>
        </w:rPr>
        <w:t>掌握“一看二问三查四不要”原则。一看项目是否合法注册，二问资金去向是否透明，三查是否有正规合同及担保措施，四不要被高息诱惑，远离非法集资。</w:t>
      </w:r>
    </w:p>
    <w:p w14:paraId="0AAE879D" w14:textId="77777777" w:rsidR="00DD53F8" w:rsidRPr="006C05A9" w:rsidRDefault="00DD53F8" w:rsidP="00FD25A4">
      <w:pPr>
        <w:widowControl/>
        <w:spacing w:beforeLines="50" w:before="156"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C05A9">
        <w:rPr>
          <w:rFonts w:ascii="仿宋" w:eastAsia="仿宋" w:hAnsi="仿宋" w:cs="宋体" w:hint="eastAsia"/>
          <w:kern w:val="0"/>
          <w:sz w:val="28"/>
          <w:szCs w:val="28"/>
        </w:rPr>
        <w:t>3、通过正规途径投资</w:t>
      </w:r>
      <w:r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Pr="006C05A9">
        <w:rPr>
          <w:rFonts w:ascii="仿宋" w:eastAsia="仿宋" w:hAnsi="仿宋" w:cs="宋体" w:hint="eastAsia"/>
          <w:kern w:val="0"/>
          <w:sz w:val="28"/>
          <w:szCs w:val="28"/>
        </w:rPr>
        <w:t>在投资前确认金融机构的资质，优先选择银行、证券公司等持牌机构的合规产品，避免通过非正规渠道投资。</w:t>
      </w:r>
    </w:p>
    <w:p w14:paraId="6495418A" w14:textId="77777777" w:rsidR="00DD53F8" w:rsidRDefault="00DD53F8" w:rsidP="00FD25A4">
      <w:pPr>
        <w:widowControl/>
        <w:spacing w:beforeLines="50" w:before="156"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6C05A9">
        <w:rPr>
          <w:rFonts w:ascii="仿宋" w:eastAsia="仿宋" w:hAnsi="仿宋" w:cs="宋体" w:hint="eastAsia"/>
          <w:kern w:val="0"/>
          <w:sz w:val="28"/>
          <w:szCs w:val="28"/>
        </w:rPr>
        <w:t>4、理性投资，量力而为根据自身风险承受能力合理规划资产配置，避免因盲目追求高收益而忽视潜在风险。</w:t>
      </w:r>
    </w:p>
    <w:p w14:paraId="63FCB993" w14:textId="77777777" w:rsidR="00DD53F8" w:rsidRDefault="00DD53F8" w:rsidP="00FD25A4">
      <w:pPr>
        <w:widowControl/>
        <w:spacing w:beforeLines="50" w:before="156" w:line="520" w:lineRule="exact"/>
        <w:ind w:firstLine="480"/>
        <w:rPr>
          <w:rFonts w:ascii="仿宋" w:eastAsia="仿宋" w:hAnsi="仿宋" w:cs="宋体" w:hint="eastAsia"/>
          <w:spacing w:val="15"/>
          <w:kern w:val="0"/>
          <w:sz w:val="28"/>
          <w:szCs w:val="28"/>
        </w:rPr>
      </w:pPr>
    </w:p>
    <w:p w14:paraId="1F77A93E" w14:textId="1EE17087" w:rsidR="00DD53F8" w:rsidRPr="0033622A" w:rsidRDefault="00DD53F8" w:rsidP="00FD25A4">
      <w:pPr>
        <w:widowControl/>
        <w:spacing w:beforeLines="50" w:before="156" w:line="520" w:lineRule="exact"/>
        <w:jc w:val="left"/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三</w:t>
      </w: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Pr="0033622A"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理性看待股价波动，</w:t>
      </w: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树立正确的投资理念</w:t>
      </w:r>
    </w:p>
    <w:p w14:paraId="4CA479DA" w14:textId="49A6B872" w:rsidR="00DD53F8" w:rsidRPr="008E11D9" w:rsidRDefault="00DD53F8" w:rsidP="00FD25A4">
      <w:pPr>
        <w:widowControl/>
        <w:spacing w:beforeLines="50" w:before="156" w:line="520" w:lineRule="exact"/>
        <w:ind w:firstLineChars="200" w:firstLine="620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 w:rsidRPr="00584FFA">
        <w:rPr>
          <w:rFonts w:ascii="仿宋" w:eastAsia="仿宋" w:hAnsi="仿宋" w:cs="宋体"/>
          <w:spacing w:val="15"/>
          <w:kern w:val="0"/>
          <w:sz w:val="28"/>
          <w:szCs w:val="28"/>
        </w:rPr>
        <w:t>股票市场波动的原因众多。宏观经济形势的变化、行业发展趋势、公司内部经营状况、政策法规的调整以及国际局势等，都可能对股票价格产生影响。例如，经济增长放缓可能导致企业盈利预期下降，从而引发股票价格下跌；某个行业受到政策扶持，则该行业的股票可能会上涨。</w:t>
      </w:r>
      <w:r>
        <w:rPr>
          <w:rFonts w:ascii="仿宋" w:eastAsia="仿宋" w:hAnsi="仿宋" w:cs="宋体"/>
          <w:spacing w:val="15"/>
          <w:kern w:val="0"/>
          <w:sz w:val="28"/>
          <w:szCs w:val="28"/>
        </w:rPr>
        <w:t>作为投资者，在投资过程中，</w:t>
      </w:r>
      <w:r>
        <w:rPr>
          <w:rFonts w:ascii="仿宋" w:eastAsia="仿宋" w:hAnsi="仿宋" w:cs="宋体"/>
          <w:spacing w:val="15"/>
          <w:kern w:val="0"/>
          <w:sz w:val="28"/>
          <w:szCs w:val="28"/>
        </w:rPr>
        <w:t>应</w:t>
      </w:r>
      <w:r>
        <w:rPr>
          <w:rFonts w:ascii="仿宋" w:eastAsia="仿宋" w:hAnsi="仿宋" w:cs="宋体"/>
          <w:spacing w:val="15"/>
          <w:kern w:val="0"/>
          <w:sz w:val="28"/>
          <w:szCs w:val="28"/>
        </w:rPr>
        <w:t>理性客观看待股价波动，</w:t>
      </w:r>
      <w:r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重视基本面分</w:t>
      </w:r>
      <w:r w:rsidRPr="00584FFA"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析，</w:t>
      </w:r>
      <w:r>
        <w:rPr>
          <w:rFonts w:ascii="仿宋" w:eastAsia="仿宋" w:hAnsi="仿宋" w:cs="宋体" w:hint="eastAsia"/>
          <w:spacing w:val="15"/>
          <w:kern w:val="0"/>
          <w:sz w:val="28"/>
          <w:szCs w:val="28"/>
        </w:rPr>
        <w:t>坚持价值投资理念。</w:t>
      </w:r>
    </w:p>
    <w:p w14:paraId="716836C2" w14:textId="77777777" w:rsidR="00DD53F8" w:rsidRDefault="00DD53F8" w:rsidP="00FD25A4">
      <w:pPr>
        <w:widowControl/>
        <w:spacing w:beforeLines="50" w:before="156" w:line="520" w:lineRule="exact"/>
        <w:ind w:firstLine="480"/>
        <w:rPr>
          <w:rFonts w:ascii="仿宋" w:eastAsia="仿宋" w:hAnsi="仿宋" w:cs="宋体"/>
          <w:spacing w:val="15"/>
          <w:kern w:val="0"/>
          <w:sz w:val="28"/>
          <w:szCs w:val="28"/>
        </w:rPr>
      </w:pPr>
    </w:p>
    <w:p w14:paraId="07FE58E5" w14:textId="6F0948AC" w:rsidR="00566BE7" w:rsidRPr="0033622A" w:rsidRDefault="00094BA5" w:rsidP="00FD25A4">
      <w:pPr>
        <w:widowControl/>
        <w:spacing w:beforeLines="50" w:before="156" w:line="520" w:lineRule="exact"/>
        <w:jc w:val="left"/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四</w:t>
      </w:r>
      <w:r w:rsidR="002D598C"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2D598C" w:rsidRPr="0033622A"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投资者维权救济途径与纠纷多元化解机制</w:t>
      </w:r>
    </w:p>
    <w:p w14:paraId="613E54FB" w14:textId="77777777" w:rsidR="00566BE7" w:rsidRDefault="002D598C" w:rsidP="00FD25A4">
      <w:pPr>
        <w:widowControl/>
        <w:spacing w:beforeLines="50" w:before="156" w:line="520" w:lineRule="exact"/>
        <w:ind w:firstLineChars="200" w:firstLine="620"/>
        <w:jc w:val="left"/>
        <w:rPr>
          <w:rFonts w:ascii="仿宋" w:eastAsia="仿宋" w:hAnsi="仿宋" w:cs="宋体"/>
          <w:spacing w:val="15"/>
          <w:kern w:val="0"/>
          <w:sz w:val="28"/>
          <w:szCs w:val="28"/>
        </w:rPr>
      </w:pPr>
      <w:r>
        <w:rPr>
          <w:rFonts w:ascii="仿宋" w:eastAsia="仿宋" w:hAnsi="仿宋" w:cs="宋体"/>
          <w:spacing w:val="15"/>
          <w:kern w:val="0"/>
          <w:sz w:val="28"/>
          <w:szCs w:val="28"/>
        </w:rPr>
        <w:t>为确保投资者可多渠道依法解决合理诉求，《证券基金期货经营机构投资者投诉处理工作指引（试行）》明确经营机构</w:t>
      </w:r>
      <w:r>
        <w:rPr>
          <w:rFonts w:ascii="仿宋" w:eastAsia="仿宋" w:hAnsi="仿宋" w:cs="宋体"/>
          <w:spacing w:val="15"/>
          <w:kern w:val="0"/>
          <w:sz w:val="28"/>
          <w:szCs w:val="28"/>
        </w:rPr>
        <w:lastRenderedPageBreak/>
        <w:t>可通过协商、和解和调解方式解决投资者诉求，对于未达成一致的争议，双方当事人均可以向行业协会、投资者保护机构以及具有调解职能的其他组织申请调解；调解不成的，投资者还可以申请仲裁或向法院提起诉讼，支持投资者通过和解、调解、仲裁、诉讼等多渠道解决纠纷，为投资者提供多元化纠纷解决机制，依法维护投资者的合法权益。金融纠纷多元化解机制是指通过第三方机构调解、仲裁、中立评估等非诉讼方式处理金融消费纠纷的机制。该机制不仅为消费者提供更加便捷、低成本的纠纷解决途径，同时也减轻了法院的负担，促进金融市场的和谐发展。</w:t>
      </w:r>
    </w:p>
    <w:p w14:paraId="368A5929" w14:textId="77777777" w:rsidR="006C05A9" w:rsidRDefault="006C05A9" w:rsidP="00FD25A4">
      <w:pPr>
        <w:widowControl/>
        <w:spacing w:beforeLines="50" w:before="156"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6E6EEE33" w14:textId="7A604444" w:rsidR="006C05A9" w:rsidRPr="0033622A" w:rsidRDefault="00094BA5" w:rsidP="00FD25A4">
      <w:pPr>
        <w:widowControl/>
        <w:spacing w:beforeLines="50" w:before="156" w:line="520" w:lineRule="exact"/>
        <w:jc w:val="left"/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五</w:t>
      </w:r>
      <w:r w:rsidR="006C05A9"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6C05A9" w:rsidRPr="0033622A"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投资者维权渠道</w:t>
      </w:r>
    </w:p>
    <w:p w14:paraId="5AE48608" w14:textId="43AD70BD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5D0BDF">
        <w:rPr>
          <w:rFonts w:ascii="仿宋" w:eastAsia="仿宋" w:hAnsi="仿宋" w:hint="eastAsia"/>
          <w:sz w:val="28"/>
          <w:szCs w:val="28"/>
        </w:rPr>
        <w:t>中国证监会平台</w:t>
      </w:r>
    </w:p>
    <w:p w14:paraId="0BF6BD99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中国证监会设立12386服务平台，接收投资者诉求，根据投资者选择的诉求类别进行处理，为投资者提供服务。</w:t>
      </w:r>
    </w:p>
    <w:p w14:paraId="13D43E26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12386服务平台：http://fwpt.csrc12386.org.cn</w:t>
      </w:r>
    </w:p>
    <w:p w14:paraId="5060E7AF" w14:textId="79ABB1CD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5D0BDF">
        <w:rPr>
          <w:rFonts w:ascii="仿宋" w:eastAsia="仿宋" w:hAnsi="仿宋" w:hint="eastAsia"/>
          <w:sz w:val="28"/>
          <w:szCs w:val="28"/>
        </w:rPr>
        <w:t>交易所平台</w:t>
      </w:r>
    </w:p>
    <w:p w14:paraId="30A50109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交易所也提供了投诉和纠纷解决的平台，投资者可以通过交易所来维护自己的权益。</w:t>
      </w:r>
    </w:p>
    <w:p w14:paraId="452595A7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上交所服务热线：400-8888-400</w:t>
      </w:r>
    </w:p>
    <w:p w14:paraId="4DEB0A46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深交所服务热线：400-808-9999</w:t>
      </w:r>
    </w:p>
    <w:p w14:paraId="4CF5FAC4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北交所服务热线：400-626-3333</w:t>
      </w:r>
    </w:p>
    <w:p w14:paraId="13A21B28" w14:textId="688D7BBB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Pr="005D0BDF">
        <w:rPr>
          <w:rFonts w:ascii="仿宋" w:eastAsia="仿宋" w:hAnsi="仿宋" w:hint="eastAsia"/>
          <w:sz w:val="28"/>
          <w:szCs w:val="28"/>
        </w:rPr>
        <w:t>中小投资者权益保护机构</w:t>
      </w:r>
    </w:p>
    <w:p w14:paraId="4CF87ADD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lastRenderedPageBreak/>
        <w:t>中小投资者权益保护机构为中小投资者提供权益保护和法律援助，主要有中国证券投资者保护基金有限责任公司（简称“投保基金公司”）和中证中小投资者服务中心有限责任公司（简称“投服中心”）。</w:t>
      </w:r>
    </w:p>
    <w:p w14:paraId="738E4600" w14:textId="3D0BC3A2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投保基金公司</w:t>
      </w:r>
      <w:r w:rsidRPr="005D0BDF">
        <w:rPr>
          <w:rFonts w:ascii="仿宋" w:eastAsia="仿宋" w:hAnsi="仿宋" w:hint="eastAsia"/>
          <w:sz w:val="28"/>
          <w:szCs w:val="28"/>
        </w:rPr>
        <w:t>（http://www.sipf.com.cn）</w:t>
      </w:r>
      <w:r w:rsidRPr="005D0BDF">
        <w:rPr>
          <w:rFonts w:ascii="仿宋" w:eastAsia="仿宋" w:hAnsi="仿宋" w:hint="eastAsia"/>
          <w:sz w:val="28"/>
          <w:szCs w:val="28"/>
        </w:rPr>
        <w:t>负责管理和运作证券投资者保护基金，检测证券公司风险，参与证券公司风险处置工作等。</w:t>
      </w:r>
    </w:p>
    <w:p w14:paraId="5A05A016" w14:textId="19B5F235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投服中心</w:t>
      </w:r>
      <w:r w:rsidRPr="005D0BDF">
        <w:rPr>
          <w:rFonts w:ascii="仿宋" w:eastAsia="仿宋" w:hAnsi="仿宋" w:hint="eastAsia"/>
          <w:sz w:val="28"/>
          <w:szCs w:val="28"/>
        </w:rPr>
        <w:t>（http://www.isc.com.cn）</w:t>
      </w:r>
      <w:r w:rsidRPr="005D0BDF">
        <w:rPr>
          <w:rFonts w:ascii="仿宋" w:eastAsia="仿宋" w:hAnsi="仿宋" w:hint="eastAsia"/>
          <w:sz w:val="28"/>
          <w:szCs w:val="28"/>
        </w:rPr>
        <w:t>则面向投资者开展公益性宣传和教育，提供调解等纠纷解决服务。</w:t>
      </w:r>
    </w:p>
    <w:p w14:paraId="0D09D76C" w14:textId="4B16EF28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Pr="005D0BDF">
        <w:rPr>
          <w:rFonts w:ascii="仿宋" w:eastAsia="仿宋" w:hAnsi="仿宋" w:hint="eastAsia"/>
          <w:sz w:val="28"/>
          <w:szCs w:val="28"/>
        </w:rPr>
        <w:t>行业协会组织</w:t>
      </w:r>
    </w:p>
    <w:p w14:paraId="4D9A04FA" w14:textId="77777777" w:rsidR="005D0BDF" w:rsidRPr="005D0BDF" w:rsidRDefault="005D0BDF" w:rsidP="00FD25A4">
      <w:pPr>
        <w:spacing w:beforeLines="50" w:before="156" w:line="52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5D0BDF">
        <w:rPr>
          <w:rFonts w:ascii="仿宋" w:eastAsia="仿宋" w:hAnsi="仿宋" w:hint="eastAsia"/>
          <w:sz w:val="28"/>
          <w:szCs w:val="28"/>
        </w:rPr>
        <w:t>行业协会对其成员的行为进行监督，并提供纠纷解决服务，投资者可以通过行业协会来寻求帮助。如中国证券业协会和中国证券投资基金业协会，其均将投资者服务作为重点工作。</w:t>
      </w:r>
    </w:p>
    <w:p w14:paraId="529EA1C3" w14:textId="77777777" w:rsidR="006F5E15" w:rsidRDefault="006F5E15" w:rsidP="00FD25A4">
      <w:pPr>
        <w:widowControl/>
        <w:spacing w:beforeLines="50" w:before="156" w:line="52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14:paraId="71698E78" w14:textId="445DAE72" w:rsidR="00566BE7" w:rsidRPr="0033622A" w:rsidRDefault="00094BA5" w:rsidP="00FD25A4">
      <w:pPr>
        <w:widowControl/>
        <w:spacing w:beforeLines="50" w:before="156" w:line="520" w:lineRule="exact"/>
        <w:jc w:val="left"/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0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六</w:t>
      </w:r>
      <w:r w:rsidR="00A949EA" w:rsidRPr="0033622A">
        <w:rPr>
          <w:rFonts w:ascii="仿宋" w:eastAsia="仿宋" w:hAnsi="仿宋" w:cs="宋体" w:hint="eastAsia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2D598C" w:rsidRPr="0033622A">
        <w:rPr>
          <w:rFonts w:ascii="仿宋" w:eastAsia="仿宋" w:hAnsi="仿宋" w:cs="宋体"/>
          <w:b/>
          <w:kern w:val="0"/>
          <w:sz w:val="28"/>
          <w:szCs w:val="28"/>
          <w:shd w:val="clear" w:color="auto" w:fill="FFC000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chemeClr w14:val="accent1">
                    <w14:shade w14:val="25000"/>
                    <w14:satMod w14:val="190000"/>
                  </w14:schemeClr>
                </w14:gs>
                <w14:gs w14:pos="80000">
                  <w14:schemeClr w14:val="accent1">
                    <w14:tint w14:val="75000"/>
                    <w14:satMod w14:val="19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维护投资者合法权益为己任</w:t>
      </w:r>
    </w:p>
    <w:p w14:paraId="44C439FE" w14:textId="0660A98B" w:rsidR="008432E5" w:rsidRPr="00094BA5" w:rsidRDefault="002D598C" w:rsidP="00FD25A4">
      <w:pPr>
        <w:spacing w:beforeLines="50" w:before="156"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94BA5">
        <w:rPr>
          <w:rFonts w:ascii="仿宋" w:eastAsia="仿宋" w:hAnsi="仿宋"/>
          <w:sz w:val="28"/>
          <w:szCs w:val="28"/>
        </w:rPr>
        <w:t>作为上市公司，我们始终将投资者的利益放在首位，积极履行信息披露义务，</w:t>
      </w:r>
      <w:r w:rsidR="00A949EA" w:rsidRPr="00094BA5">
        <w:rPr>
          <w:rFonts w:ascii="仿宋" w:eastAsia="仿宋" w:hAnsi="仿宋"/>
          <w:sz w:val="28"/>
          <w:szCs w:val="28"/>
        </w:rPr>
        <w:t>严</w:t>
      </w:r>
      <w:r w:rsidR="006E2F61" w:rsidRPr="00094BA5">
        <w:rPr>
          <w:rFonts w:ascii="仿宋" w:eastAsia="仿宋" w:hAnsi="仿宋"/>
          <w:sz w:val="28"/>
          <w:szCs w:val="28"/>
        </w:rPr>
        <w:t>格按照相关法律法规和监管要求，通过定期报告、临时公告等多种形式</w:t>
      </w:r>
      <w:r w:rsidR="00A949EA" w:rsidRPr="00094BA5">
        <w:rPr>
          <w:rFonts w:ascii="仿宋" w:eastAsia="仿宋" w:hAnsi="仿宋"/>
          <w:sz w:val="28"/>
          <w:szCs w:val="28"/>
        </w:rPr>
        <w:t>披露公司的财务状况、重大事项等重要信息，让</w:t>
      </w:r>
      <w:r w:rsidR="006E2F61" w:rsidRPr="00094BA5">
        <w:rPr>
          <w:rFonts w:ascii="仿宋" w:eastAsia="仿宋" w:hAnsi="仿宋" w:hint="eastAsia"/>
          <w:sz w:val="28"/>
          <w:szCs w:val="28"/>
        </w:rPr>
        <w:t>投资</w:t>
      </w:r>
      <w:r w:rsidR="006E2F61" w:rsidRPr="00094BA5">
        <w:rPr>
          <w:rFonts w:ascii="仿宋" w:eastAsia="仿宋" w:hAnsi="仿宋"/>
          <w:sz w:val="28"/>
          <w:szCs w:val="28"/>
        </w:rPr>
        <w:t>者</w:t>
      </w:r>
      <w:r w:rsidR="00A949EA" w:rsidRPr="00094BA5">
        <w:rPr>
          <w:rFonts w:ascii="仿宋" w:eastAsia="仿宋" w:hAnsi="仿宋"/>
          <w:sz w:val="28"/>
          <w:szCs w:val="28"/>
        </w:rPr>
        <w:t>能够全面了解公司的经营状况和发展前景，做出明智的投资决策。同时，我们还积极开展投资者关系管理活动，通过股东大会、业绩说明会、投资者热线等多种渠道，与</w:t>
      </w:r>
      <w:r w:rsidR="006E2F61" w:rsidRPr="00094BA5">
        <w:rPr>
          <w:rFonts w:ascii="仿宋" w:eastAsia="仿宋" w:hAnsi="仿宋" w:hint="eastAsia"/>
          <w:sz w:val="28"/>
          <w:szCs w:val="28"/>
        </w:rPr>
        <w:t>投资</w:t>
      </w:r>
      <w:r w:rsidR="006E2F61" w:rsidRPr="00094BA5">
        <w:rPr>
          <w:rFonts w:ascii="仿宋" w:eastAsia="仿宋" w:hAnsi="仿宋"/>
          <w:sz w:val="28"/>
          <w:szCs w:val="28"/>
        </w:rPr>
        <w:t>者</w:t>
      </w:r>
      <w:r w:rsidR="00A949EA" w:rsidRPr="00094BA5">
        <w:rPr>
          <w:rFonts w:ascii="仿宋" w:eastAsia="仿宋" w:hAnsi="仿宋"/>
          <w:sz w:val="28"/>
          <w:szCs w:val="28"/>
        </w:rPr>
        <w:t>进行沟通和交流，倾听</w:t>
      </w:r>
      <w:r w:rsidR="006E2F61" w:rsidRPr="00094BA5">
        <w:rPr>
          <w:rFonts w:ascii="仿宋" w:eastAsia="仿宋" w:hAnsi="仿宋" w:hint="eastAsia"/>
          <w:sz w:val="28"/>
          <w:szCs w:val="28"/>
        </w:rPr>
        <w:t>投资</w:t>
      </w:r>
      <w:r w:rsidR="006E2F61" w:rsidRPr="00094BA5">
        <w:rPr>
          <w:rFonts w:ascii="仿宋" w:eastAsia="仿宋" w:hAnsi="仿宋"/>
          <w:sz w:val="28"/>
          <w:szCs w:val="28"/>
        </w:rPr>
        <w:t>者</w:t>
      </w:r>
      <w:r w:rsidR="00A949EA" w:rsidRPr="00094BA5">
        <w:rPr>
          <w:rFonts w:ascii="仿宋" w:eastAsia="仿宋" w:hAnsi="仿宋"/>
          <w:sz w:val="28"/>
          <w:szCs w:val="28"/>
        </w:rPr>
        <w:t>的意见和建议，及时回应</w:t>
      </w:r>
      <w:r w:rsidR="006E2F61" w:rsidRPr="00094BA5">
        <w:rPr>
          <w:rFonts w:ascii="仿宋" w:eastAsia="仿宋" w:hAnsi="仿宋" w:hint="eastAsia"/>
          <w:sz w:val="28"/>
          <w:szCs w:val="28"/>
        </w:rPr>
        <w:t>投资</w:t>
      </w:r>
      <w:r w:rsidR="006E2F61" w:rsidRPr="00094BA5">
        <w:rPr>
          <w:rFonts w:ascii="仿宋" w:eastAsia="仿宋" w:hAnsi="仿宋"/>
          <w:sz w:val="28"/>
          <w:szCs w:val="28"/>
        </w:rPr>
        <w:t>者</w:t>
      </w:r>
      <w:r w:rsidR="00A949EA" w:rsidRPr="00094BA5">
        <w:rPr>
          <w:rFonts w:ascii="仿宋" w:eastAsia="仿宋" w:hAnsi="仿宋"/>
          <w:sz w:val="28"/>
          <w:szCs w:val="28"/>
        </w:rPr>
        <w:t>的关切</w:t>
      </w:r>
      <w:r w:rsidR="006E2F61" w:rsidRPr="00094BA5">
        <w:rPr>
          <w:rFonts w:ascii="仿宋" w:eastAsia="仿宋" w:hAnsi="仿宋"/>
          <w:sz w:val="28"/>
          <w:szCs w:val="28"/>
        </w:rPr>
        <w:t>。</w:t>
      </w:r>
      <w:r w:rsidR="006E2F61" w:rsidRPr="00094BA5">
        <w:rPr>
          <w:rFonts w:ascii="仿宋" w:eastAsia="仿宋" w:hAnsi="仿宋" w:hint="eastAsia"/>
          <w:sz w:val="28"/>
          <w:szCs w:val="28"/>
        </w:rPr>
        <w:t>我们深知，每一位投资者的信任与支持，都是推动公司稳健发展的重要力量。因此，保障投资者的合法权益，不仅是我们的责任，更是我们不懈追求的目标。</w:t>
      </w:r>
    </w:p>
    <w:sectPr w:rsidR="008432E5" w:rsidRPr="00094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9C2"/>
    <w:rsid w:val="00003FB9"/>
    <w:rsid w:val="00092F10"/>
    <w:rsid w:val="00094BA5"/>
    <w:rsid w:val="002B1918"/>
    <w:rsid w:val="002D598C"/>
    <w:rsid w:val="002D61B1"/>
    <w:rsid w:val="003357C4"/>
    <w:rsid w:val="0033622A"/>
    <w:rsid w:val="004B021B"/>
    <w:rsid w:val="00566BE7"/>
    <w:rsid w:val="00584FFA"/>
    <w:rsid w:val="005D0BDF"/>
    <w:rsid w:val="006C05A9"/>
    <w:rsid w:val="006E2F61"/>
    <w:rsid w:val="006E784C"/>
    <w:rsid w:val="006F5E15"/>
    <w:rsid w:val="00752588"/>
    <w:rsid w:val="007E2283"/>
    <w:rsid w:val="008432E5"/>
    <w:rsid w:val="008E11D9"/>
    <w:rsid w:val="00A949EA"/>
    <w:rsid w:val="00C339C2"/>
    <w:rsid w:val="00C52942"/>
    <w:rsid w:val="00C821C7"/>
    <w:rsid w:val="00D37F72"/>
    <w:rsid w:val="00DD53F8"/>
    <w:rsid w:val="00E65BC1"/>
    <w:rsid w:val="00E82C53"/>
    <w:rsid w:val="00F12835"/>
    <w:rsid w:val="00F474C7"/>
    <w:rsid w:val="00FD25A4"/>
    <w:rsid w:val="00FE3EA6"/>
    <w:rsid w:val="379E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uiPriority="2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6C05A9"/>
    <w:rPr>
      <w:color w:val="0000FF" w:themeColor="hyperlink"/>
      <w:u w:val="single"/>
    </w:rPr>
  </w:style>
  <w:style w:type="paragraph" w:styleId="a6">
    <w:name w:val="Quote"/>
    <w:basedOn w:val="a"/>
    <w:next w:val="a"/>
    <w:link w:val="Char"/>
    <w:uiPriority w:val="29"/>
    <w:qFormat/>
    <w:rsid w:val="00F12835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Char">
    <w:name w:val="引用 Char"/>
    <w:basedOn w:val="a0"/>
    <w:link w:val="a6"/>
    <w:uiPriority w:val="29"/>
    <w:rsid w:val="00F12835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7">
    <w:name w:val="Balloon Text"/>
    <w:basedOn w:val="a"/>
    <w:link w:val="Char0"/>
    <w:uiPriority w:val="99"/>
    <w:semiHidden/>
    <w:unhideWhenUsed/>
    <w:rsid w:val="00F1283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F128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Quote" w:uiPriority="2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rsid w:val="006C05A9"/>
    <w:rPr>
      <w:color w:val="0000FF" w:themeColor="hyperlink"/>
      <w:u w:val="single"/>
    </w:rPr>
  </w:style>
  <w:style w:type="paragraph" w:styleId="a6">
    <w:name w:val="Quote"/>
    <w:basedOn w:val="a"/>
    <w:next w:val="a"/>
    <w:link w:val="Char"/>
    <w:uiPriority w:val="29"/>
    <w:qFormat/>
    <w:rsid w:val="00F12835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Char">
    <w:name w:val="引用 Char"/>
    <w:basedOn w:val="a0"/>
    <w:link w:val="a6"/>
    <w:uiPriority w:val="29"/>
    <w:rsid w:val="00F12835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paragraph" w:styleId="a7">
    <w:name w:val="Balloon Text"/>
    <w:basedOn w:val="a"/>
    <w:link w:val="Char0"/>
    <w:uiPriority w:val="99"/>
    <w:semiHidden/>
    <w:unhideWhenUsed/>
    <w:rsid w:val="00F12835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F128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39D34F-5DE6-4F18-83AF-6796ADE2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12</cp:revision>
  <dcterms:created xsi:type="dcterms:W3CDTF">2025-03-11T02:42:00Z</dcterms:created>
  <dcterms:modified xsi:type="dcterms:W3CDTF">2025-03-14T07:35:00Z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eyJoZGlkIjoiMmVjODgxMDc4MWMyOTMyYzgyZDY2MjExNjY1YTcwZDgiLCJ1c2VySWQiOiIxMzk3NzAzOTM5In0=</vt:lpwstr>
  </property>
  <property fmtid="{D5CDD505-2E9C-101B-9397-08002B2CF9AE}" pid="3" name="KSOProductBuildVer">
    <vt:lpwstr>2052-12.1.0.20305</vt:lpwstr>
  </property>
  <property fmtid="{D5CDD505-2E9C-101B-9397-08002B2CF9AE}" pid="4" name="ICV">
    <vt:lpwstr>F4BF16C8C1D8454294D8F92050251DB8_12</vt:lpwstr>
  </property>
</Properties>
</file>